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DC" w:rsidRDefault="005675D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t xml:space="preserve">  Class </w:t>
      </w:r>
      <w:r>
        <w:tab/>
      </w:r>
      <w:r>
        <w:rPr>
          <w:u w:val="single"/>
        </w:rPr>
        <w:tab/>
      </w:r>
    </w:p>
    <w:p w:rsidR="005675DC" w:rsidRDefault="005675DC">
      <w:pPr>
        <w:rPr>
          <w:u w:val="single"/>
        </w:rPr>
      </w:pPr>
    </w:p>
    <w:p w:rsidR="005675DC" w:rsidRPr="005675DC" w:rsidRDefault="005675DC" w:rsidP="005675DC">
      <w:pPr>
        <w:jc w:val="center"/>
        <w:rPr>
          <w:i/>
        </w:rPr>
      </w:pPr>
      <w:r w:rsidRPr="005675DC">
        <w:rPr>
          <w:i/>
        </w:rPr>
        <w:t>The Sword in the Stone</w:t>
      </w:r>
    </w:p>
    <w:p w:rsidR="005675DC" w:rsidRDefault="005675DC" w:rsidP="005675DC">
      <w:pPr>
        <w:jc w:val="center"/>
      </w:pPr>
    </w:p>
    <w:p w:rsidR="005675DC" w:rsidRDefault="005675DC" w:rsidP="005675DC">
      <w:pPr>
        <w:pStyle w:val="normal0"/>
        <w:contextualSpacing w:val="0"/>
      </w:pPr>
      <w:r>
        <w:rPr>
          <w:rFonts w:ascii="Goudy Old Style" w:eastAsia="Goudy Old Style" w:hAnsi="Goudy Old Style" w:cs="Goudy Old Style"/>
          <w:b/>
        </w:rPr>
        <w:t>DISCUSSION GRADE (25 points per due date)</w:t>
      </w:r>
    </w:p>
    <w:p w:rsidR="005675DC" w:rsidRDefault="005675DC" w:rsidP="005675DC">
      <w:pPr>
        <w:pStyle w:val="normal0"/>
        <w:contextualSpacing w:val="0"/>
      </w:pPr>
    </w:p>
    <w:p w:rsidR="005675DC" w:rsidRDefault="005675DC" w:rsidP="005675DC">
      <w:pPr>
        <w:pStyle w:val="normal0"/>
        <w:contextualSpacing w:val="0"/>
      </w:pPr>
      <w:r>
        <w:rPr>
          <w:rFonts w:ascii="Goudy Old Style" w:eastAsia="Goudy Old Style" w:hAnsi="Goudy Old Style" w:cs="Goudy Old Style"/>
        </w:rPr>
        <w:t xml:space="preserve">For the last 3 sections of the novel, you will meet in discussion groups.  You will need to prepare ahead of time.  Your grade for the discussion will depend upon several things. You must come to class prepared with your novel (2 points) and with 5 well-written annotations (4 points each). The 5 annotations will be from the chapters you’ve read for the due date. The annotations should be questions about the events, unusual dialogue, unclear phrases, etc. that you </w:t>
      </w:r>
      <w:r>
        <w:rPr>
          <w:rFonts w:ascii="Goudy Old Style" w:eastAsia="Goudy Old Style" w:hAnsi="Goudy Old Style" w:cs="Goudy Old Style"/>
          <w:i/>
        </w:rPr>
        <w:t>think</w:t>
      </w:r>
      <w:r>
        <w:rPr>
          <w:rFonts w:ascii="Goudy Old Style" w:eastAsia="Goudy Old Style" w:hAnsi="Goudy Old Style" w:cs="Goudy Old Style"/>
        </w:rPr>
        <w:t xml:space="preserve"> you understand but just want confirmation from others that you’re on the right track OR connections or reactions that you have to the events, etc. Each annotation should be written in paragraph form—minimum 3 sentences, maximum 5 sentences—and titled by chapter.  Use the boxes below for your ann0tations, or you may type them</w:t>
      </w:r>
    </w:p>
    <w:p w:rsidR="005675DC" w:rsidRDefault="005675DC" w:rsidP="005675DC">
      <w:pPr>
        <w:pStyle w:val="normal0"/>
        <w:contextualSpacing w:val="0"/>
        <w:rPr>
          <w:rFonts w:ascii="Goudy Old Style" w:eastAsia="Goudy Old Style" w:hAnsi="Goudy Old Style" w:cs="Goudy Old Style"/>
        </w:rPr>
      </w:pPr>
    </w:p>
    <w:p w:rsidR="005675DC" w:rsidRDefault="005675DC" w:rsidP="005675DC">
      <w:pPr>
        <w:pStyle w:val="normal0"/>
        <w:contextualSpacing w:val="0"/>
      </w:pPr>
      <w:r>
        <w:rPr>
          <w:rFonts w:ascii="Goudy Old Style" w:eastAsia="Goudy Old Style" w:hAnsi="Goudy Old Style" w:cs="Goudy Old Style"/>
        </w:rPr>
        <w:t>You will be placed in groups of approximately 4-5 people for discussion (3 points for participation) each day the readings are due. Your discussion should focus on the annotations, but you may also talk about the discussion questions from the packet. If you are absent, you are expected to keep up with the work and show it to your group when you return. Class discussion of any unanswered annotations will be done after group discussions.</w:t>
      </w:r>
    </w:p>
    <w:p w:rsidR="005675DC" w:rsidRDefault="005675DC" w:rsidP="005675DC"/>
    <w:p w:rsidR="005675DC" w:rsidRDefault="005675DC" w:rsidP="005675DC"/>
    <w:tbl>
      <w:tblPr>
        <w:tblStyle w:val="TableGrid"/>
        <w:tblW w:w="0" w:type="auto"/>
        <w:tblLook w:val="00BF"/>
      </w:tblPr>
      <w:tblGrid>
        <w:gridCol w:w="1278"/>
        <w:gridCol w:w="7578"/>
      </w:tblGrid>
      <w:tr w:rsidR="005675DC" w:rsidTr="005675DC">
        <w:tc>
          <w:tcPr>
            <w:tcW w:w="1278" w:type="dxa"/>
          </w:tcPr>
          <w:p w:rsidR="005675DC" w:rsidRDefault="005675DC" w:rsidP="005675DC">
            <w:r>
              <w:t>Chapter</w:t>
            </w:r>
          </w:p>
        </w:tc>
        <w:tc>
          <w:tcPr>
            <w:tcW w:w="7578" w:type="dxa"/>
          </w:tcPr>
          <w:p w:rsidR="005675DC" w:rsidRDefault="005675DC" w:rsidP="005675DC">
            <w:pPr>
              <w:jc w:val="center"/>
            </w:pPr>
            <w:r>
              <w:t>Annotation</w:t>
            </w:r>
          </w:p>
        </w:tc>
      </w:tr>
      <w:tr w:rsidR="005675DC" w:rsidTr="005675DC">
        <w:tc>
          <w:tcPr>
            <w:tcW w:w="1278" w:type="dxa"/>
          </w:tcPr>
          <w:p w:rsidR="005675DC" w:rsidRDefault="005675DC" w:rsidP="005675DC"/>
        </w:tc>
        <w:tc>
          <w:tcPr>
            <w:tcW w:w="7578" w:type="dxa"/>
          </w:tcPr>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tc>
      </w:tr>
      <w:tr w:rsidR="005675DC" w:rsidTr="005675DC">
        <w:tc>
          <w:tcPr>
            <w:tcW w:w="1278" w:type="dxa"/>
          </w:tcPr>
          <w:p w:rsidR="005675DC" w:rsidRDefault="005675DC" w:rsidP="005675DC"/>
        </w:tc>
        <w:tc>
          <w:tcPr>
            <w:tcW w:w="7578" w:type="dxa"/>
          </w:tcPr>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tc>
      </w:tr>
      <w:tr w:rsidR="005675DC" w:rsidTr="005675DC">
        <w:tc>
          <w:tcPr>
            <w:tcW w:w="1278" w:type="dxa"/>
          </w:tcPr>
          <w:p w:rsidR="005675DC" w:rsidRDefault="005675DC" w:rsidP="005675DC"/>
        </w:tc>
        <w:tc>
          <w:tcPr>
            <w:tcW w:w="7578" w:type="dxa"/>
          </w:tcPr>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tc>
      </w:tr>
      <w:tr w:rsidR="005675DC">
        <w:tc>
          <w:tcPr>
            <w:tcW w:w="1278" w:type="dxa"/>
          </w:tcPr>
          <w:p w:rsidR="005675DC" w:rsidRDefault="005675DC" w:rsidP="005675DC"/>
        </w:tc>
        <w:tc>
          <w:tcPr>
            <w:tcW w:w="7578" w:type="dxa"/>
          </w:tcPr>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tc>
      </w:tr>
      <w:tr w:rsidR="005675DC">
        <w:tc>
          <w:tcPr>
            <w:tcW w:w="1278" w:type="dxa"/>
          </w:tcPr>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tc>
        <w:tc>
          <w:tcPr>
            <w:tcW w:w="7578" w:type="dxa"/>
          </w:tcPr>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p w:rsidR="005675DC" w:rsidRDefault="005675DC" w:rsidP="005675DC"/>
        </w:tc>
      </w:tr>
    </w:tbl>
    <w:p w:rsidR="000114A5" w:rsidRPr="005675DC" w:rsidRDefault="005675DC" w:rsidP="005675DC"/>
    <w:sectPr w:rsidR="000114A5" w:rsidRPr="005675DC" w:rsidSect="005675DC">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75DC"/>
    <w:rsid w:val="005675DC"/>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675DC"/>
    <w:pPr>
      <w:widowControl w:val="0"/>
      <w:contextualSpacing/>
    </w:pPr>
    <w:rPr>
      <w:rFonts w:ascii="Times New Roman" w:eastAsia="Times New Roman" w:hAnsi="Times New Roman" w:cs="Times New Roman"/>
      <w:color w:val="000000"/>
    </w:rPr>
  </w:style>
  <w:style w:type="table" w:styleId="TableGrid">
    <w:name w:val="Table Grid"/>
    <w:basedOn w:val="TableNormal"/>
    <w:uiPriority w:val="59"/>
    <w:rsid w:val="005675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209</Words>
  <Characters>1193</Characters>
  <Application>Microsoft Macintosh Word</Application>
  <DocSecurity>0</DocSecurity>
  <Lines>9</Lines>
  <Paragraphs>2</Paragraphs>
  <ScaleCrop>false</ScaleCrop>
  <Company>HCPSS</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2014-03-18T04:26:00Z</dcterms:created>
  <dcterms:modified xsi:type="dcterms:W3CDTF">2014-03-18T04:36:00Z</dcterms:modified>
</cp:coreProperties>
</file>